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BD9A" w14:textId="7135FF5B"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b/>
          <w:bCs/>
          <w:lang w:val="fr-FR"/>
        </w:rPr>
        <w:t>Références bibliographiques</w:t>
      </w:r>
      <w:r w:rsidRPr="00027D33">
        <w:rPr>
          <w:rFonts w:ascii="Times New Roman" w:hAnsi="Times New Roman" w:cs="Times New Roman"/>
          <w:lang w:val="fr-FR"/>
        </w:rPr>
        <w:t xml:space="preserve">. </w:t>
      </w:r>
    </w:p>
    <w:p w14:paraId="47F08DF1"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i/>
          <w:iCs/>
          <w:lang w:val="fr-FR"/>
        </w:rPr>
        <w:t>Implications Philosophiques</w:t>
      </w:r>
      <w:r w:rsidRPr="00027D33">
        <w:rPr>
          <w:rFonts w:ascii="Times New Roman" w:hAnsi="Times New Roman" w:cs="Times New Roman"/>
          <w:lang w:val="fr-FR"/>
        </w:rPr>
        <w:t xml:space="preserve"> applique une politique de tolérance vis-à-vis de styles différents de citations, pourvu qu’ils soient cohérents. En cela, nous suivons la norme ISO 690, dont les détails peuvent être trouvés en suivant ce lien : </w:t>
      </w:r>
      <w:hyperlink r:id="rId5" w:history="1">
        <w:r w:rsidRPr="00027D33">
          <w:rPr>
            <w:rFonts w:ascii="Times New Roman" w:hAnsi="Times New Roman" w:cs="Times New Roman"/>
            <w:color w:val="0563C1" w:themeColor="hyperlink"/>
            <w:u w:val="single"/>
            <w:lang w:val="fr-FR"/>
          </w:rPr>
          <w:t>https://fr.wikipedia.org/wiki/ISO_690</w:t>
        </w:r>
      </w:hyperlink>
      <w:r w:rsidRPr="00027D33">
        <w:rPr>
          <w:rFonts w:ascii="Times New Roman" w:hAnsi="Times New Roman" w:cs="Times New Roman"/>
          <w:lang w:val="fr-FR"/>
        </w:rPr>
        <w:t xml:space="preserve"> </w:t>
      </w:r>
    </w:p>
    <w:p w14:paraId="72823DF3"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Cette norme n’impose pas un ordre ou une mise en forme aux citations, mais exige la présence systématique de certaines informations. La norme propose néanmoins un « ordre » habituel, qui n’est pas contraignant : </w:t>
      </w:r>
    </w:p>
    <w:p w14:paraId="098F8698"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Nom(s) du/des créateur(s) ;</w:t>
      </w:r>
    </w:p>
    <w:p w14:paraId="622B3DAC"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Titre ;</w:t>
      </w:r>
    </w:p>
    <w:p w14:paraId="2FE9E220"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Indication de support, si nécessaire ;</w:t>
      </w:r>
    </w:p>
    <w:p w14:paraId="3A94BC05"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Édition ;</w:t>
      </w:r>
    </w:p>
    <w:p w14:paraId="76FDCFD9"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Lieu et éditeur ;</w:t>
      </w:r>
    </w:p>
    <w:p w14:paraId="021BB557"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Date (peut être déplacée après le nom du créateur si la méthode de citation « auteur-date » est utilisée) ;</w:t>
      </w:r>
    </w:p>
    <w:p w14:paraId="7C0887AB"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Titre de publication en série, s'il s'applique ;</w:t>
      </w:r>
    </w:p>
    <w:p w14:paraId="6E49ACBF"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Numérotation dans la ressource ;</w:t>
      </w:r>
    </w:p>
    <w:p w14:paraId="1B751573"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Numéro normalisé, s'il s'applique (ISBN, ISSN, DOI, etc.) ;</w:t>
      </w:r>
    </w:p>
    <w:p w14:paraId="75C48C34"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Disponibilité, accès ou information relatives à la localisation ;</w:t>
      </w:r>
    </w:p>
    <w:p w14:paraId="1043A646" w14:textId="77777777" w:rsidR="00027D33" w:rsidRPr="00027D33" w:rsidRDefault="00027D33" w:rsidP="00027D33">
      <w:pPr>
        <w:numPr>
          <w:ilvl w:val="0"/>
          <w:numId w:val="1"/>
        </w:numPr>
        <w:jc w:val="both"/>
        <w:rPr>
          <w:rFonts w:ascii="Times New Roman" w:hAnsi="Times New Roman" w:cs="Times New Roman"/>
          <w:lang w:val="fr-FR"/>
        </w:rPr>
      </w:pPr>
      <w:r w:rsidRPr="00027D33">
        <w:rPr>
          <w:rFonts w:ascii="Times New Roman" w:hAnsi="Times New Roman" w:cs="Times New Roman"/>
          <w:lang w:val="fr-FR"/>
        </w:rPr>
        <w:t>Informations générales complémentaires</w:t>
      </w:r>
    </w:p>
    <w:p w14:paraId="0E4E76D1"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i/>
          <w:iCs/>
          <w:lang w:val="fr-FR"/>
        </w:rPr>
        <w:t>Implications Philosophiques</w:t>
      </w:r>
      <w:r w:rsidRPr="00027D33">
        <w:rPr>
          <w:rFonts w:ascii="Times New Roman" w:hAnsi="Times New Roman" w:cs="Times New Roman"/>
          <w:lang w:val="fr-FR"/>
        </w:rPr>
        <w:t xml:space="preserve"> étant une revue de philosophie, nous recommandons </w:t>
      </w:r>
      <w:r w:rsidRPr="00027D33">
        <w:rPr>
          <w:rFonts w:ascii="Times New Roman" w:hAnsi="Times New Roman" w:cs="Times New Roman"/>
          <w:i/>
          <w:iCs/>
          <w:lang w:val="fr-FR"/>
        </w:rPr>
        <w:t>a priori</w:t>
      </w:r>
      <w:r w:rsidRPr="00027D33">
        <w:rPr>
          <w:rFonts w:ascii="Times New Roman" w:hAnsi="Times New Roman" w:cs="Times New Roman"/>
          <w:lang w:val="fr-FR"/>
        </w:rPr>
        <w:t xml:space="preserve"> de suivre </w:t>
      </w:r>
      <w:r w:rsidRPr="00027D33">
        <w:rPr>
          <w:rFonts w:ascii="Times New Roman" w:hAnsi="Times New Roman" w:cs="Times New Roman"/>
          <w:b/>
          <w:bCs/>
          <w:lang w:val="fr-FR"/>
        </w:rPr>
        <w:t>l’usage des « notes courantes »</w:t>
      </w:r>
      <w:r w:rsidRPr="00027D33">
        <w:rPr>
          <w:rFonts w:ascii="Times New Roman" w:hAnsi="Times New Roman" w:cs="Times New Roman"/>
          <w:lang w:val="fr-FR"/>
        </w:rPr>
        <w:t xml:space="preserve">. Selon la page Wikipédia de la norme ISO 690, il s’agit de l’usage suivant : </w:t>
      </w:r>
    </w:p>
    <w:p w14:paraId="7330E9EB"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Les citations sont faites en indiquant entre parenthèses, entre crochets ou en exposant des numéros renvoyant des notes numérotées en fonction de leur ordre d'apparition dans le texte. Ces notes contiennent des références aux ressources citées. Une même note peut contenir des références à plusieurs ressources. En cas de citation ultérieure d'une ressource citée plus haut dans le texte, une nouvelle note sera créée, avec un nouveau numéro. </w:t>
      </w:r>
    </w:p>
    <w:p w14:paraId="368ACCD7"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Les références complètes des ressources citées sont présentées dans les notes. Si une note renvoie à une ressource citée dans une note précédente, elle peut soit répéter la référence intégrale, soit donner le nom de l'auteur et la référence de la note précédente, en précisant si nécessaire la pagination. »</w:t>
      </w:r>
    </w:p>
    <w:p w14:paraId="05E12050"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S’il est fait usage de ce système, la bibliographie de fin d’article n’est pas obligatoire, mais seulement fortement recommandée.</w:t>
      </w:r>
    </w:p>
    <w:p w14:paraId="28A14620"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Toutefois, le système dit de « Harvard » est aussi envisageable, ex : (Smith, 1776). Il faut toutefois nécessairement compléter l’article par une bibliographie de fin dans ce cas.</w:t>
      </w:r>
    </w:p>
    <w:p w14:paraId="4E0C01C8"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Voici des modèles (indicatifs) de citation : </w:t>
      </w:r>
    </w:p>
    <w:p w14:paraId="3DAD2C6C" w14:textId="77777777" w:rsidR="00027D33" w:rsidRPr="00027D33" w:rsidRDefault="00027D33" w:rsidP="00027D33">
      <w:pPr>
        <w:ind w:left="567"/>
        <w:jc w:val="both"/>
        <w:rPr>
          <w:rFonts w:ascii="Times New Roman" w:hAnsi="Times New Roman" w:cs="Times New Roman"/>
          <w:lang w:val="fr-FR"/>
        </w:rPr>
      </w:pPr>
      <w:r w:rsidRPr="00027D33">
        <w:rPr>
          <w:rFonts w:ascii="Times New Roman" w:hAnsi="Times New Roman" w:cs="Times New Roman"/>
          <w:lang w:val="fr-FR"/>
        </w:rPr>
        <w:t>Prénom Nom, Titre de l’ouvrage ou de la revue, lieu d’édition, éditeur, « collection », date d’édition/le cas échéant le numéro de la revue.</w:t>
      </w:r>
    </w:p>
    <w:p w14:paraId="378E121D" w14:textId="77777777" w:rsidR="00027D33" w:rsidRPr="00027D33" w:rsidRDefault="00027D33" w:rsidP="00027D33">
      <w:pPr>
        <w:ind w:left="567"/>
        <w:jc w:val="both"/>
        <w:rPr>
          <w:rFonts w:ascii="Times New Roman" w:hAnsi="Times New Roman" w:cs="Times New Roman"/>
          <w:lang w:val="fr-FR"/>
        </w:rPr>
      </w:pPr>
      <w:r w:rsidRPr="00027D33">
        <w:rPr>
          <w:rFonts w:ascii="Times New Roman" w:hAnsi="Times New Roman" w:cs="Times New Roman"/>
          <w:lang w:val="fr-FR"/>
        </w:rPr>
        <w:t xml:space="preserve">Si on cite une contribution à un ouvrage collectif : </w:t>
      </w:r>
    </w:p>
    <w:p w14:paraId="6059A512" w14:textId="77777777" w:rsidR="00027D33" w:rsidRPr="00027D33" w:rsidRDefault="00027D33" w:rsidP="00027D33">
      <w:pPr>
        <w:ind w:left="567"/>
        <w:jc w:val="both"/>
        <w:rPr>
          <w:rFonts w:ascii="Times New Roman" w:hAnsi="Times New Roman" w:cs="Times New Roman"/>
          <w:lang w:val="fr-FR"/>
        </w:rPr>
      </w:pPr>
      <w:r w:rsidRPr="00027D33">
        <w:rPr>
          <w:rFonts w:ascii="Times New Roman" w:hAnsi="Times New Roman" w:cs="Times New Roman"/>
          <w:lang w:val="fr-FR"/>
        </w:rPr>
        <w:lastRenderedPageBreak/>
        <w:t>Prénom Nom, « Titre de l’article », in, Prénom Nom (dir.), Titre de l’ouvrage ou de la revue, lieu d’édition, éditeur, « collection », date d’édition, p.1-10.</w:t>
      </w:r>
    </w:p>
    <w:p w14:paraId="6A1E88C4"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Dans les notes courantes, on recommande d’utiliser le système Prénom NOM : </w:t>
      </w:r>
    </w:p>
    <w:p w14:paraId="3071B041"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Jean-Fabien SPITZ, </w:t>
      </w:r>
      <w:r w:rsidRPr="00027D33">
        <w:rPr>
          <w:rFonts w:ascii="Times New Roman" w:hAnsi="Times New Roman" w:cs="Times New Roman"/>
          <w:i/>
          <w:iCs/>
          <w:lang w:val="fr-FR"/>
        </w:rPr>
        <w:t>La propriété de soi</w:t>
      </w:r>
      <w:r w:rsidRPr="00027D33">
        <w:rPr>
          <w:rFonts w:ascii="Times New Roman" w:hAnsi="Times New Roman" w:cs="Times New Roman"/>
          <w:lang w:val="fr-FR"/>
        </w:rPr>
        <w:t>, Paris, Vrin, 2018.</w:t>
      </w:r>
    </w:p>
    <w:p w14:paraId="14837A6B"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Dans la bibliographie finale, la liste des références peut épouser le format NOM Prénom. Par exemple (mais d’autres ordres ou ponctuations peuvent être utilisés) : </w:t>
      </w:r>
    </w:p>
    <w:p w14:paraId="12FC1551"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SPITZ, Jean-Fabien, « John Rawls et la question de la justice sociale », </w:t>
      </w:r>
      <w:r w:rsidRPr="00027D33">
        <w:rPr>
          <w:rFonts w:ascii="Times New Roman" w:hAnsi="Times New Roman" w:cs="Times New Roman"/>
          <w:i/>
          <w:iCs/>
          <w:lang w:val="fr-FR"/>
        </w:rPr>
        <w:t>Études</w:t>
      </w:r>
      <w:r w:rsidRPr="00027D33">
        <w:rPr>
          <w:rFonts w:ascii="Times New Roman" w:hAnsi="Times New Roman" w:cs="Times New Roman"/>
          <w:lang w:val="fr-FR"/>
        </w:rPr>
        <w:t>, 2011, vol. 414, no 1, p.</w:t>
      </w:r>
      <w:r w:rsidRPr="00027D33">
        <w:rPr>
          <w:rFonts w:ascii="Times New Roman" w:hAnsi="Times New Roman" w:cs="Times New Roman"/>
        </w:rPr>
        <w:t> </w:t>
      </w:r>
      <w:r w:rsidRPr="00027D33">
        <w:rPr>
          <w:rFonts w:ascii="Times New Roman" w:hAnsi="Times New Roman" w:cs="Times New Roman"/>
          <w:lang w:val="fr-FR"/>
        </w:rPr>
        <w:t>55-65.</w:t>
      </w:r>
    </w:p>
    <w:p w14:paraId="6BCA91F9"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Notes que les références en langue anglais peuvent rester complètement dans leur langue et leur ponctuation d’origine. Ex : Anne BRUNON-ERNST (ed.), “Epilogue: The Panopticon as a Contemporary Icon?”, in </w:t>
      </w:r>
      <w:r w:rsidRPr="00027D33">
        <w:rPr>
          <w:rFonts w:ascii="Times New Roman" w:hAnsi="Times New Roman" w:cs="Times New Roman"/>
          <w:i/>
          <w:iCs/>
          <w:lang w:val="fr-FR"/>
        </w:rPr>
        <w:t>Beyond Foucault, New Perspectives on Bentham’s Panopticon</w:t>
      </w:r>
      <w:r w:rsidRPr="00027D33">
        <w:rPr>
          <w:rFonts w:ascii="Times New Roman" w:hAnsi="Times New Roman" w:cs="Times New Roman"/>
          <w:lang w:val="fr-FR"/>
        </w:rPr>
        <w:t>, Aldershot: Ashgate, 2012.</w:t>
      </w:r>
    </w:p>
    <w:p w14:paraId="554EFD95" w14:textId="77777777" w:rsidR="00027D33" w:rsidRPr="00027D33" w:rsidRDefault="00027D33" w:rsidP="00027D33">
      <w:pPr>
        <w:spacing w:before="240"/>
        <w:rPr>
          <w:rFonts w:ascii="Times New Roman" w:hAnsi="Times New Roman" w:cs="Times New Roman"/>
          <w:b/>
          <w:bCs/>
          <w:lang w:val="fr-FR"/>
        </w:rPr>
      </w:pPr>
      <w:r w:rsidRPr="00027D33">
        <w:rPr>
          <w:rFonts w:ascii="Times New Roman" w:hAnsi="Times New Roman" w:cs="Times New Roman"/>
          <w:b/>
          <w:bCs/>
          <w:lang w:val="fr-FR"/>
        </w:rPr>
        <w:t>Appels de note</w:t>
      </w:r>
    </w:p>
    <w:p w14:paraId="52632E58" w14:textId="77777777" w:rsidR="00027D33" w:rsidRPr="00027D33" w:rsidRDefault="00027D33" w:rsidP="00027D33">
      <w:pPr>
        <w:spacing w:before="240"/>
        <w:rPr>
          <w:rFonts w:ascii="Times New Roman" w:hAnsi="Times New Roman" w:cs="Times New Roman"/>
          <w:lang w:val="fr-FR"/>
        </w:rPr>
      </w:pPr>
      <w:r w:rsidRPr="00027D33">
        <w:rPr>
          <w:rFonts w:ascii="Times New Roman" w:hAnsi="Times New Roman" w:cs="Times New Roman"/>
          <w:lang w:val="fr-FR"/>
        </w:rPr>
        <w:t>Si la note concerne un mot</w:t>
      </w:r>
      <w:r w:rsidRPr="00027D33">
        <w:rPr>
          <w:rFonts w:ascii="Times New Roman" w:hAnsi="Times New Roman" w:cs="Times New Roman"/>
          <w:vertAlign w:val="superscript"/>
          <w:lang w:val="fr-FR"/>
        </w:rPr>
        <w:t>1</w:t>
      </w:r>
      <w:r w:rsidRPr="00027D33">
        <w:rPr>
          <w:rFonts w:ascii="Times New Roman" w:hAnsi="Times New Roman" w:cs="Times New Roman"/>
          <w:lang w:val="fr-FR"/>
        </w:rPr>
        <w:t xml:space="preserve"> en particulier, l’appel vient après lui.</w:t>
      </w:r>
      <w:r w:rsidRPr="00027D33">
        <w:rPr>
          <w:rFonts w:ascii="Times New Roman" w:hAnsi="Times New Roman" w:cs="Times New Roman"/>
          <w:lang w:val="fr-FR"/>
        </w:rPr>
        <w:br/>
        <w:t xml:space="preserve">Si la note concerne un énoncé, l’appel vient </w:t>
      </w:r>
      <w:r w:rsidRPr="00027D33">
        <w:rPr>
          <w:rFonts w:ascii="Times New Roman" w:hAnsi="Times New Roman" w:cs="Times New Roman"/>
          <w:i/>
          <w:iCs/>
          <w:lang w:val="fr-FR"/>
        </w:rPr>
        <w:t xml:space="preserve">avant </w:t>
      </w:r>
      <w:r w:rsidRPr="00027D33">
        <w:rPr>
          <w:rFonts w:ascii="Times New Roman" w:hAnsi="Times New Roman" w:cs="Times New Roman"/>
          <w:lang w:val="fr-FR"/>
        </w:rPr>
        <w:t>le point final</w:t>
      </w:r>
      <w:r w:rsidRPr="00027D33">
        <w:rPr>
          <w:rFonts w:ascii="Times New Roman" w:hAnsi="Times New Roman" w:cs="Times New Roman"/>
          <w:vertAlign w:val="superscript"/>
          <w:lang w:val="fr-FR"/>
        </w:rPr>
        <w:t>1</w:t>
      </w:r>
      <w:r w:rsidRPr="00027D33">
        <w:rPr>
          <w:rFonts w:ascii="Times New Roman" w:hAnsi="Times New Roman" w:cs="Times New Roman"/>
          <w:lang w:val="fr-FR"/>
        </w:rPr>
        <w:t>.</w:t>
      </w:r>
      <w:r w:rsidRPr="00027D33">
        <w:rPr>
          <w:rFonts w:ascii="Times New Roman" w:hAnsi="Times New Roman" w:cs="Times New Roman"/>
          <w:lang w:val="fr-FR"/>
        </w:rPr>
        <w:br/>
        <w:t xml:space="preserve">« Placé en fin de citation, il vient </w:t>
      </w:r>
      <w:r w:rsidRPr="00027D33">
        <w:rPr>
          <w:rFonts w:ascii="Times New Roman" w:hAnsi="Times New Roman" w:cs="Times New Roman"/>
          <w:i/>
          <w:iCs/>
          <w:lang w:val="fr-FR"/>
        </w:rPr>
        <w:t xml:space="preserve">après </w:t>
      </w:r>
      <w:r w:rsidRPr="00027D33">
        <w:rPr>
          <w:rFonts w:ascii="Times New Roman" w:hAnsi="Times New Roman" w:cs="Times New Roman"/>
          <w:lang w:val="fr-FR"/>
        </w:rPr>
        <w:t>les guillemets fermants »</w:t>
      </w:r>
      <w:r w:rsidRPr="00027D33">
        <w:rPr>
          <w:rFonts w:ascii="Times New Roman" w:hAnsi="Times New Roman" w:cs="Times New Roman"/>
          <w:vertAlign w:val="superscript"/>
          <w:lang w:val="fr-FR"/>
        </w:rPr>
        <w:t>1</w:t>
      </w:r>
      <w:r w:rsidRPr="00027D33">
        <w:rPr>
          <w:rFonts w:ascii="Times New Roman" w:hAnsi="Times New Roman" w:cs="Times New Roman"/>
          <w:lang w:val="fr-FR"/>
        </w:rPr>
        <w:t>.</w:t>
      </w:r>
    </w:p>
    <w:p w14:paraId="41F5D16B" w14:textId="77777777" w:rsidR="00027D33" w:rsidRPr="00027D33" w:rsidRDefault="00027D33" w:rsidP="00027D33">
      <w:pPr>
        <w:spacing w:before="120" w:after="120" w:line="240" w:lineRule="auto"/>
        <w:ind w:left="1134" w:right="1134"/>
        <w:jc w:val="both"/>
        <w:rPr>
          <w:rFonts w:ascii="Times New Roman" w:eastAsia="MS Mincho" w:hAnsi="Times New Roman" w:cs="Times New Roman"/>
          <w:szCs w:val="18"/>
          <w:lang w:val="fr-FR" w:eastAsia="fr-FR"/>
        </w:rPr>
      </w:pPr>
      <w:r w:rsidRPr="00027D33">
        <w:rPr>
          <w:rFonts w:ascii="Times New Roman" w:eastAsia="MS Mincho" w:hAnsi="Times New Roman" w:cs="Times New Roman"/>
          <w:szCs w:val="18"/>
          <w:lang w:val="fr-FR" w:eastAsia="fr-FR"/>
        </w:rPr>
        <w:t xml:space="preserve">Placé en fin de citation détachée en exergue et sans guillemets, il vient </w:t>
      </w:r>
      <w:r w:rsidRPr="00027D33">
        <w:rPr>
          <w:rFonts w:ascii="Times New Roman" w:eastAsia="MS Mincho" w:hAnsi="Times New Roman" w:cs="Times New Roman"/>
          <w:i/>
          <w:iCs/>
          <w:szCs w:val="18"/>
          <w:lang w:val="fr-FR" w:eastAsia="fr-FR"/>
        </w:rPr>
        <w:t xml:space="preserve">après </w:t>
      </w:r>
      <w:r w:rsidRPr="00027D33">
        <w:rPr>
          <w:rFonts w:ascii="Times New Roman" w:eastAsia="MS Mincho" w:hAnsi="Times New Roman" w:cs="Times New Roman"/>
          <w:szCs w:val="18"/>
          <w:lang w:val="fr-FR" w:eastAsia="fr-FR"/>
        </w:rPr>
        <w:t>le point final.</w:t>
      </w:r>
      <w:r w:rsidRPr="00027D33">
        <w:rPr>
          <w:rFonts w:ascii="Times New Roman" w:eastAsia="MS Mincho" w:hAnsi="Times New Roman" w:cs="Times New Roman"/>
          <w:szCs w:val="18"/>
          <w:vertAlign w:val="superscript"/>
          <w:lang w:val="fr-FR" w:eastAsia="fr-FR"/>
        </w:rPr>
        <w:t>1</w:t>
      </w:r>
    </w:p>
    <w:p w14:paraId="0E6FBB7C" w14:textId="77777777" w:rsidR="00027D33" w:rsidRPr="00027D33" w:rsidRDefault="00027D33" w:rsidP="00027D33">
      <w:pPr>
        <w:jc w:val="both"/>
        <w:rPr>
          <w:rFonts w:ascii="Times New Roman" w:hAnsi="Times New Roman" w:cs="Times New Roman"/>
          <w:b/>
          <w:bCs/>
          <w:lang w:val="fr-FR"/>
        </w:rPr>
      </w:pPr>
      <w:r w:rsidRPr="00027D33">
        <w:rPr>
          <w:rFonts w:ascii="Times New Roman" w:hAnsi="Times New Roman" w:cs="Times New Roman"/>
          <w:b/>
          <w:bCs/>
          <w:lang w:val="fr-FR"/>
        </w:rPr>
        <w:t>Citations</w:t>
      </w:r>
    </w:p>
    <w:p w14:paraId="6F782DB4"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Les citations doivent être saisies en caractères romains, et non en italique.</w:t>
      </w:r>
    </w:p>
    <w:p w14:paraId="707E524A"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Elles sont systématiquement encadrées par des guillemets français « x ». </w:t>
      </w:r>
    </w:p>
    <w:p w14:paraId="3927E37C"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Les guillemets anglais sont à réserver, dans les articles rédigés en français, aux citations à l’intérieur des citations. </w:t>
      </w:r>
    </w:p>
    <w:p w14:paraId="4A4ED69A"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Dans ce cas, il n’y a pas d’espace après les guillemets ouvrants (“) ni avant les guillemets fermants (”).</w:t>
      </w:r>
    </w:p>
    <w:p w14:paraId="4D8BA185"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S’il y a une citation étrangère, l’usage est d’appliquer le code typographique du pays d’origine. </w:t>
      </w:r>
    </w:p>
    <w:p w14:paraId="00C0416A"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En cas de citation à l’intérieur d’une citation dans un article rédigé en anglais, on utilisera alors les guillemets doubles ouvrants et fermants pour encadrer la citation et les guillemets simples ouvrants et fermants pour encadrer la citation intérieure, sans aucun espace.</w:t>
      </w:r>
    </w:p>
    <w:p w14:paraId="6A9A27AB"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Si le dossier comprend des articles en anglais, il faudra respecter le code typographique anglais cité ci-dessus. </w:t>
      </w:r>
    </w:p>
    <w:p w14:paraId="36F0B2C0"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Tout comme pour les guillemets anglais, il n’y a alors plus d’espace avant les doubles ponctuations.</w:t>
      </w:r>
    </w:p>
    <w:p w14:paraId="4B0636B5"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Les citations de plus de trois lignes doivent être séparées du corps du texte par un retour à la ligne et former un paragraphe en retrait et de police 11 pt. Dans ce cas, on ne les met pas entre guillemets. </w:t>
      </w:r>
    </w:p>
    <w:p w14:paraId="486D981E"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Toute suppression ou coupure, dans une citation, doit être signalée par des crochets […], ainsi que tout commentaire personnel.</w:t>
      </w:r>
    </w:p>
    <w:p w14:paraId="2F7192FD" w14:textId="77777777" w:rsidR="00027D33" w:rsidRPr="00027D33" w:rsidRDefault="00027D33" w:rsidP="00027D33">
      <w:pPr>
        <w:jc w:val="both"/>
        <w:rPr>
          <w:rFonts w:ascii="Times New Roman" w:hAnsi="Times New Roman" w:cs="Times New Roman"/>
          <w:b/>
          <w:bCs/>
          <w:lang w:val="fr-FR"/>
        </w:rPr>
      </w:pPr>
      <w:r w:rsidRPr="00027D33">
        <w:rPr>
          <w:rFonts w:ascii="Times New Roman" w:hAnsi="Times New Roman" w:cs="Times New Roman"/>
          <w:b/>
          <w:bCs/>
          <w:lang w:val="fr-FR"/>
        </w:rPr>
        <w:t xml:space="preserve">Placement de la ponctuation forte dans les citations : </w:t>
      </w:r>
    </w:p>
    <w:p w14:paraId="3320B074" w14:textId="77777777" w:rsidR="00027D33" w:rsidRPr="00027D33" w:rsidRDefault="00027D33" w:rsidP="00027D33">
      <w:pPr>
        <w:jc w:val="both"/>
        <w:rPr>
          <w:rFonts w:ascii="TimesNewRomanPSMT" w:hAnsi="TimesNewRomanPSMT"/>
          <w:color w:val="000000"/>
          <w:lang w:val="fr-FR"/>
        </w:rPr>
      </w:pPr>
      <w:r w:rsidRPr="00027D33">
        <w:rPr>
          <w:rFonts w:ascii="TimesNewRomanPSMT" w:hAnsi="TimesNewRomanPSMT"/>
          <w:color w:val="000000"/>
          <w:lang w:val="fr-FR"/>
        </w:rPr>
        <w:t xml:space="preserve">« Le point est placé dans les guillemets si la citation est une phrase complète. » </w:t>
      </w:r>
    </w:p>
    <w:p w14:paraId="081E22FE" w14:textId="77777777" w:rsidR="00027D33" w:rsidRPr="00027D33" w:rsidRDefault="00027D33" w:rsidP="00027D33">
      <w:pPr>
        <w:jc w:val="both"/>
        <w:rPr>
          <w:rFonts w:ascii="Times New Roman" w:hAnsi="Times New Roman" w:cs="Times New Roman"/>
          <w:b/>
          <w:bCs/>
          <w:lang w:val="fr-FR"/>
        </w:rPr>
      </w:pPr>
      <w:r w:rsidRPr="00027D33">
        <w:rPr>
          <w:rFonts w:ascii="TimesNewRomanPSMT" w:hAnsi="TimesNewRomanPSMT"/>
          <w:color w:val="000000"/>
          <w:lang w:val="fr-FR"/>
        </w:rPr>
        <w:t>S’il s’agit d’un extrait de phrase, le point vient « après le guillemet fermant ».</w:t>
      </w:r>
    </w:p>
    <w:p w14:paraId="07311D61" w14:textId="77777777" w:rsidR="00027D33" w:rsidRPr="00027D33" w:rsidRDefault="00027D33" w:rsidP="00027D33">
      <w:pPr>
        <w:rPr>
          <w:rFonts w:ascii="Times New Roman" w:hAnsi="Times New Roman" w:cs="Times New Roman"/>
          <w:b/>
          <w:bCs/>
          <w:lang w:val="fr-FR"/>
        </w:rPr>
      </w:pPr>
      <w:r w:rsidRPr="00027D33">
        <w:rPr>
          <w:rFonts w:ascii="Times New Roman" w:hAnsi="Times New Roman" w:cs="Times New Roman"/>
          <w:b/>
          <w:bCs/>
          <w:lang w:val="fr-FR"/>
        </w:rPr>
        <w:lastRenderedPageBreak/>
        <w:t>Quelques mots sur les abréviations</w:t>
      </w:r>
    </w:p>
    <w:p w14:paraId="0240C113"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b/>
          <w:bCs/>
          <w:i/>
          <w:iCs/>
          <w:lang w:val="fr-FR"/>
        </w:rPr>
        <w:t>op. cit</w:t>
      </w:r>
      <w:r w:rsidRPr="00027D33">
        <w:rPr>
          <w:rFonts w:ascii="Times New Roman" w:hAnsi="Times New Roman" w:cs="Times New Roman"/>
          <w:b/>
          <w:bCs/>
          <w:lang w:val="fr-FR"/>
        </w:rPr>
        <w:t>.</w:t>
      </w:r>
      <w:r w:rsidRPr="00027D33">
        <w:rPr>
          <w:rFonts w:ascii="Times New Roman" w:hAnsi="Times New Roman" w:cs="Times New Roman"/>
          <w:lang w:val="fr-FR"/>
        </w:rPr>
        <w:t xml:space="preserve"> Cette abréviation signifie ‘dans l’ouvrage cité’ et ne peut traditionnellement s’employer qu’après un nom d’auteur ou après un titre de chapitre entre guillemets, </w:t>
      </w:r>
      <w:r w:rsidRPr="00027D33">
        <w:rPr>
          <w:rFonts w:ascii="Times New Roman" w:hAnsi="Times New Roman" w:cs="Times New Roman"/>
          <w:i/>
          <w:iCs/>
          <w:lang w:val="fr-FR"/>
        </w:rPr>
        <w:t>et pas après un titre d’ouvrage</w:t>
      </w:r>
      <w:r w:rsidRPr="00027D33">
        <w:rPr>
          <w:rFonts w:ascii="Times New Roman" w:hAnsi="Times New Roman" w:cs="Times New Roman"/>
          <w:lang w:val="fr-FR"/>
        </w:rPr>
        <w:t xml:space="preserve">. Ce n’est toutefois pas toujours l’usage. On peut donc l’utiliser, ou bien préférer « déjà cité », ou encore, reprendre la version abrégée du titre (ex : Émile Durkheim, </w:t>
      </w:r>
      <w:r w:rsidRPr="00027D33">
        <w:rPr>
          <w:rFonts w:ascii="Times New Roman" w:hAnsi="Times New Roman" w:cs="Times New Roman"/>
          <w:i/>
          <w:iCs/>
          <w:lang w:val="fr-FR"/>
        </w:rPr>
        <w:t>Les formes élémentaires</w:t>
      </w:r>
      <w:r w:rsidRPr="00027D33">
        <w:rPr>
          <w:rFonts w:ascii="Times New Roman" w:hAnsi="Times New Roman" w:cs="Times New Roman"/>
          <w:lang w:val="fr-FR"/>
        </w:rPr>
        <w:t xml:space="preserve">…, p. 48).  </w:t>
      </w:r>
      <w:r w:rsidRPr="00027D33">
        <w:rPr>
          <w:rFonts w:ascii="Times New Roman" w:hAnsi="Times New Roman" w:cs="Times New Roman"/>
          <w:lang w:val="fr-FR"/>
        </w:rPr>
        <w:br/>
      </w:r>
      <w:r w:rsidRPr="00027D33">
        <w:rPr>
          <w:rFonts w:ascii="Times New Roman" w:hAnsi="Times New Roman" w:cs="Times New Roman"/>
          <w:b/>
          <w:bCs/>
          <w:i/>
          <w:iCs/>
          <w:lang w:val="fr-FR"/>
        </w:rPr>
        <w:t>cf</w:t>
      </w:r>
      <w:r w:rsidRPr="00027D33">
        <w:rPr>
          <w:rFonts w:ascii="Times New Roman" w:hAnsi="Times New Roman" w:cs="Times New Roman"/>
          <w:lang w:val="fr-FR"/>
        </w:rPr>
        <w:t xml:space="preserve">., latin </w:t>
      </w:r>
      <w:r w:rsidRPr="00027D33">
        <w:rPr>
          <w:rFonts w:ascii="Times New Roman" w:hAnsi="Times New Roman" w:cs="Times New Roman"/>
          <w:i/>
          <w:iCs/>
          <w:lang w:val="fr-FR"/>
        </w:rPr>
        <w:t>confere</w:t>
      </w:r>
      <w:r w:rsidRPr="00027D33">
        <w:rPr>
          <w:rFonts w:ascii="Times New Roman" w:hAnsi="Times New Roman" w:cs="Times New Roman"/>
          <w:lang w:val="fr-FR"/>
        </w:rPr>
        <w:t xml:space="preserve">, ‘comparez’, ne doit pas être employée pour </w:t>
      </w:r>
      <w:r w:rsidRPr="00027D33">
        <w:rPr>
          <w:rFonts w:ascii="Times New Roman" w:hAnsi="Times New Roman" w:cs="Times New Roman"/>
          <w:i/>
          <w:iCs/>
          <w:lang w:val="fr-FR"/>
        </w:rPr>
        <w:t>v</w:t>
      </w:r>
      <w:r w:rsidRPr="00027D33">
        <w:rPr>
          <w:rFonts w:ascii="Times New Roman" w:hAnsi="Times New Roman" w:cs="Times New Roman"/>
          <w:lang w:val="fr-FR"/>
        </w:rPr>
        <w:t xml:space="preserve">. (lat. </w:t>
      </w:r>
      <w:r w:rsidRPr="00027D33">
        <w:rPr>
          <w:rFonts w:ascii="Times New Roman" w:hAnsi="Times New Roman" w:cs="Times New Roman"/>
          <w:i/>
          <w:iCs/>
          <w:lang w:val="fr-FR"/>
        </w:rPr>
        <w:t>vide</w:t>
      </w:r>
      <w:r w:rsidRPr="00027D33">
        <w:rPr>
          <w:rFonts w:ascii="Times New Roman" w:hAnsi="Times New Roman" w:cs="Times New Roman"/>
          <w:lang w:val="fr-FR"/>
        </w:rPr>
        <w:t xml:space="preserve">, ‘voyez’). Préférez </w:t>
      </w:r>
      <w:r w:rsidRPr="00027D33">
        <w:rPr>
          <w:rFonts w:ascii="Times New Roman" w:hAnsi="Times New Roman" w:cs="Times New Roman"/>
          <w:i/>
          <w:iCs/>
          <w:lang w:val="fr-FR"/>
        </w:rPr>
        <w:t>voir</w:t>
      </w:r>
    </w:p>
    <w:p w14:paraId="093B972D"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Les abréviations </w:t>
      </w:r>
      <w:r w:rsidRPr="00027D33">
        <w:rPr>
          <w:rFonts w:ascii="Times New Roman" w:hAnsi="Times New Roman" w:cs="Times New Roman"/>
          <w:b/>
          <w:bCs/>
          <w:i/>
          <w:iCs/>
          <w:lang w:val="fr-FR"/>
        </w:rPr>
        <w:t>sq</w:t>
      </w:r>
      <w:r w:rsidRPr="00027D33">
        <w:rPr>
          <w:rFonts w:ascii="Times New Roman" w:hAnsi="Times New Roman" w:cs="Times New Roman"/>
          <w:b/>
          <w:bCs/>
          <w:lang w:val="fr-FR"/>
        </w:rPr>
        <w:t xml:space="preserve">., </w:t>
      </w:r>
      <w:r w:rsidRPr="00027D33">
        <w:rPr>
          <w:rFonts w:ascii="Times New Roman" w:hAnsi="Times New Roman" w:cs="Times New Roman"/>
          <w:b/>
          <w:bCs/>
          <w:i/>
          <w:iCs/>
          <w:lang w:val="fr-FR"/>
        </w:rPr>
        <w:t>sqq</w:t>
      </w:r>
      <w:r w:rsidRPr="00027D33">
        <w:rPr>
          <w:rFonts w:ascii="Times New Roman" w:hAnsi="Times New Roman" w:cs="Times New Roman"/>
          <w:b/>
          <w:bCs/>
          <w:lang w:val="fr-FR"/>
        </w:rPr>
        <w:t>.,</w:t>
      </w:r>
      <w:r w:rsidRPr="00027D33">
        <w:rPr>
          <w:rFonts w:ascii="Times New Roman" w:hAnsi="Times New Roman" w:cs="Times New Roman"/>
          <w:lang w:val="fr-FR"/>
        </w:rPr>
        <w:t xml:space="preserve"> lat. </w:t>
      </w:r>
      <w:r w:rsidRPr="00027D33">
        <w:rPr>
          <w:rFonts w:ascii="Times New Roman" w:hAnsi="Times New Roman" w:cs="Times New Roman"/>
          <w:i/>
          <w:iCs/>
          <w:lang w:val="fr-FR"/>
        </w:rPr>
        <w:t>sequiturque</w:t>
      </w:r>
      <w:r w:rsidRPr="00027D33">
        <w:rPr>
          <w:rFonts w:ascii="Times New Roman" w:hAnsi="Times New Roman" w:cs="Times New Roman"/>
          <w:lang w:val="fr-FR"/>
        </w:rPr>
        <w:t xml:space="preserve">, </w:t>
      </w:r>
      <w:r w:rsidRPr="00027D33">
        <w:rPr>
          <w:rFonts w:ascii="Times New Roman" w:hAnsi="Times New Roman" w:cs="Times New Roman"/>
          <w:i/>
          <w:iCs/>
          <w:lang w:val="fr-FR"/>
        </w:rPr>
        <w:t>sequunturque</w:t>
      </w:r>
      <w:r w:rsidRPr="00027D33">
        <w:rPr>
          <w:rFonts w:ascii="Times New Roman" w:hAnsi="Times New Roman" w:cs="Times New Roman"/>
          <w:lang w:val="fr-FR"/>
        </w:rPr>
        <w:t>, signifient ‘et la suivante’, ‘et les suivantes’. On peut leur préférer « et suiv. » pour plus de simplicité.</w:t>
      </w:r>
    </w:p>
    <w:p w14:paraId="4E233F57"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 xml:space="preserve">On écrit plutôt : </w:t>
      </w:r>
    </w:p>
    <w:p w14:paraId="3941BA99"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-1</w:t>
      </w:r>
      <w:r w:rsidRPr="00027D33">
        <w:rPr>
          <w:rFonts w:ascii="Times New Roman" w:hAnsi="Times New Roman" w:cs="Times New Roman"/>
          <w:vertAlign w:val="superscript"/>
          <w:lang w:val="fr-FR"/>
        </w:rPr>
        <w:t>er</w:t>
      </w:r>
      <w:r w:rsidRPr="00027D33">
        <w:rPr>
          <w:rFonts w:ascii="Times New Roman" w:hAnsi="Times New Roman" w:cs="Times New Roman"/>
          <w:lang w:val="fr-FR"/>
        </w:rPr>
        <w:t>, 1</w:t>
      </w:r>
      <w:r w:rsidRPr="00027D33">
        <w:rPr>
          <w:rFonts w:ascii="Times New Roman" w:hAnsi="Times New Roman" w:cs="Times New Roman"/>
          <w:vertAlign w:val="superscript"/>
          <w:lang w:val="fr-FR"/>
        </w:rPr>
        <w:t>ers</w:t>
      </w:r>
      <w:r w:rsidRPr="00027D33">
        <w:rPr>
          <w:rFonts w:ascii="Times New Roman" w:hAnsi="Times New Roman" w:cs="Times New Roman"/>
          <w:lang w:val="fr-FR"/>
        </w:rPr>
        <w:t>, 1</w:t>
      </w:r>
      <w:r w:rsidRPr="00027D33">
        <w:rPr>
          <w:rFonts w:ascii="Times New Roman" w:hAnsi="Times New Roman" w:cs="Times New Roman"/>
          <w:vertAlign w:val="superscript"/>
          <w:lang w:val="fr-FR"/>
        </w:rPr>
        <w:t>re</w:t>
      </w:r>
      <w:r w:rsidRPr="00027D33">
        <w:rPr>
          <w:rFonts w:ascii="Times New Roman" w:hAnsi="Times New Roman" w:cs="Times New Roman"/>
          <w:lang w:val="fr-FR"/>
        </w:rPr>
        <w:t>, 2</w:t>
      </w:r>
      <w:r w:rsidRPr="00027D33">
        <w:rPr>
          <w:rFonts w:ascii="Times New Roman" w:hAnsi="Times New Roman" w:cs="Times New Roman"/>
          <w:vertAlign w:val="superscript"/>
          <w:lang w:val="fr-FR"/>
        </w:rPr>
        <w:t>e</w:t>
      </w:r>
      <w:r w:rsidRPr="00027D33">
        <w:rPr>
          <w:rFonts w:ascii="Times New Roman" w:hAnsi="Times New Roman" w:cs="Times New Roman"/>
          <w:lang w:val="fr-FR"/>
        </w:rPr>
        <w:t>, 9</w:t>
      </w:r>
      <w:r w:rsidRPr="00027D33">
        <w:rPr>
          <w:rFonts w:ascii="Times New Roman" w:hAnsi="Times New Roman" w:cs="Times New Roman"/>
          <w:vertAlign w:val="superscript"/>
          <w:lang w:val="fr-FR"/>
        </w:rPr>
        <w:t>e</w:t>
      </w:r>
      <w:r w:rsidRPr="00027D33">
        <w:rPr>
          <w:rFonts w:ascii="Times New Roman" w:hAnsi="Times New Roman" w:cs="Times New Roman"/>
          <w:lang w:val="fr-FR"/>
        </w:rPr>
        <w:t xml:space="preserve"> et non 1</w:t>
      </w:r>
      <w:r w:rsidRPr="00027D33">
        <w:rPr>
          <w:rFonts w:ascii="Times New Roman" w:hAnsi="Times New Roman" w:cs="Times New Roman"/>
          <w:vertAlign w:val="superscript"/>
          <w:lang w:val="fr-FR"/>
        </w:rPr>
        <w:t>ier</w:t>
      </w:r>
      <w:r w:rsidRPr="00027D33">
        <w:rPr>
          <w:rFonts w:ascii="Times New Roman" w:hAnsi="Times New Roman" w:cs="Times New Roman"/>
          <w:lang w:val="fr-FR"/>
        </w:rPr>
        <w:t>, 1</w:t>
      </w:r>
      <w:r w:rsidRPr="00027D33">
        <w:rPr>
          <w:rFonts w:ascii="Times New Roman" w:hAnsi="Times New Roman" w:cs="Times New Roman"/>
          <w:vertAlign w:val="superscript"/>
          <w:lang w:val="fr-FR"/>
        </w:rPr>
        <w:t>ère</w:t>
      </w:r>
      <w:r w:rsidRPr="00027D33">
        <w:rPr>
          <w:rFonts w:ascii="Times New Roman" w:hAnsi="Times New Roman" w:cs="Times New Roman"/>
          <w:lang w:val="fr-FR"/>
        </w:rPr>
        <w:t>, 2</w:t>
      </w:r>
      <w:r w:rsidRPr="00027D33">
        <w:rPr>
          <w:rFonts w:ascii="Times New Roman" w:hAnsi="Times New Roman" w:cs="Times New Roman"/>
          <w:vertAlign w:val="superscript"/>
          <w:lang w:val="fr-FR"/>
        </w:rPr>
        <w:t>ème</w:t>
      </w:r>
      <w:r w:rsidRPr="00027D33">
        <w:rPr>
          <w:rFonts w:ascii="Times New Roman" w:hAnsi="Times New Roman" w:cs="Times New Roman"/>
          <w:lang w:val="fr-FR"/>
        </w:rPr>
        <w:t>, 9</w:t>
      </w:r>
      <w:r w:rsidRPr="00027D33">
        <w:rPr>
          <w:rFonts w:ascii="Times New Roman" w:hAnsi="Times New Roman" w:cs="Times New Roman"/>
          <w:vertAlign w:val="superscript"/>
          <w:lang w:val="fr-FR"/>
        </w:rPr>
        <w:t>ème</w:t>
      </w:r>
      <w:r w:rsidRPr="00027D33">
        <w:rPr>
          <w:rFonts w:ascii="Times New Roman" w:hAnsi="Times New Roman" w:cs="Times New Roman"/>
          <w:lang w:val="fr-FR"/>
        </w:rPr>
        <w:t xml:space="preserve"> ;</w:t>
      </w:r>
    </w:p>
    <w:p w14:paraId="29A04D82"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-chap. et non ch.</w:t>
      </w:r>
    </w:p>
    <w:p w14:paraId="05CA4A79"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-dir. pour le ou les directeurs d’un ouvrage collectif</w:t>
      </w:r>
    </w:p>
    <w:p w14:paraId="3C97BA0E"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-etc. et non etc… ;</w:t>
      </w:r>
    </w:p>
    <w:p w14:paraId="23C98A79"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-vol. pour volume ;</w:t>
      </w:r>
    </w:p>
    <w:p w14:paraId="05D20034"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-t. pour tome ;</w:t>
      </w:r>
    </w:p>
    <w:p w14:paraId="645E7FDD"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-coll. pour collection ;</w:t>
      </w:r>
    </w:p>
    <w:p w14:paraId="185C2B3D"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-no pour numéro (et nos pour numéros) ;</w:t>
      </w:r>
    </w:p>
    <w:p w14:paraId="22F3707E" w14:textId="77777777" w:rsidR="00027D33" w:rsidRPr="00027D33" w:rsidRDefault="00027D33" w:rsidP="00027D33">
      <w:pPr>
        <w:jc w:val="both"/>
        <w:rPr>
          <w:rFonts w:ascii="Times New Roman" w:hAnsi="Times New Roman" w:cs="Times New Roman"/>
          <w:lang w:val="fr-FR"/>
        </w:rPr>
      </w:pPr>
      <w:r w:rsidRPr="00027D33">
        <w:rPr>
          <w:rFonts w:ascii="Times New Roman" w:hAnsi="Times New Roman" w:cs="Times New Roman"/>
          <w:lang w:val="fr-FR"/>
        </w:rPr>
        <w:t>-p. pour page comme pour plusieurs pages (on notera p. 65-75 et non pp. 65-75). Notez qu’il n’y a pas d’espace entre le p et le point : p.</w:t>
      </w:r>
    </w:p>
    <w:p w14:paraId="74917B0F" w14:textId="515E06CB" w:rsidR="00027F1B" w:rsidRDefault="00027D33" w:rsidP="00027D33">
      <w:pPr>
        <w:jc w:val="both"/>
        <w:rPr>
          <w:rFonts w:ascii="Times New Roman" w:hAnsi="Times New Roman" w:cs="Times New Roman"/>
          <w:lang w:val="fr-FR"/>
        </w:rPr>
      </w:pPr>
      <w:r w:rsidRPr="00027D33">
        <w:rPr>
          <w:rFonts w:ascii="Times New Roman" w:hAnsi="Times New Roman" w:cs="Times New Roman"/>
          <w:lang w:val="fr-FR"/>
        </w:rPr>
        <w:t>-tr. fr. pour traduction française</w:t>
      </w:r>
    </w:p>
    <w:p w14:paraId="63BDBC19" w14:textId="77777777" w:rsidR="00027F1B" w:rsidRPr="00027F1B" w:rsidRDefault="00027F1B" w:rsidP="00027F1B">
      <w:pPr>
        <w:jc w:val="both"/>
        <w:rPr>
          <w:rFonts w:ascii="Times New Roman" w:hAnsi="Times New Roman" w:cs="Times New Roman"/>
        </w:rPr>
      </w:pPr>
      <w:r w:rsidRPr="00027F1B">
        <w:rPr>
          <w:rFonts w:ascii="Times New Roman" w:hAnsi="Times New Roman" w:cs="Times New Roman"/>
          <w:b/>
          <w:bCs/>
        </w:rPr>
        <w:t xml:space="preserve">Normes et rappels spécifiques pour les recensions: </w:t>
      </w:r>
    </w:p>
    <w:p w14:paraId="00E5FCAD" w14:textId="77777777" w:rsidR="00027F1B" w:rsidRPr="00027F1B" w:rsidRDefault="00027F1B" w:rsidP="00027F1B">
      <w:pPr>
        <w:jc w:val="both"/>
        <w:rPr>
          <w:rFonts w:ascii="Times New Roman" w:hAnsi="Times New Roman" w:cs="Times New Roman"/>
        </w:rPr>
      </w:pPr>
      <w:r w:rsidRPr="00027F1B">
        <w:rPr>
          <w:rFonts w:ascii="Times New Roman" w:hAnsi="Times New Roman" w:cs="Times New Roman"/>
        </w:rPr>
        <w:t>Il est nécessaire d'</w:t>
      </w:r>
      <w:r w:rsidRPr="00027F1B">
        <w:rPr>
          <w:rFonts w:ascii="Times New Roman" w:hAnsi="Times New Roman" w:cs="Times New Roman"/>
          <w:i/>
          <w:iCs/>
        </w:rPr>
        <w:t>idenfier</w:t>
      </w:r>
      <w:r w:rsidRPr="00027F1B">
        <w:rPr>
          <w:rFonts w:ascii="Times New Roman" w:hAnsi="Times New Roman" w:cs="Times New Roman"/>
        </w:rPr>
        <w:t xml:space="preserve"> les citations de l'ouvrage recensé. Pour ce faire, veuillez utiliser (p. X) dans le corps du texte, au lieu de faire référence à l'ouvrage en note systématiquement.</w:t>
      </w:r>
    </w:p>
    <w:p w14:paraId="121B3A6A" w14:textId="77777777" w:rsidR="00027F1B" w:rsidRPr="00027F1B" w:rsidRDefault="00027F1B" w:rsidP="00027F1B">
      <w:pPr>
        <w:jc w:val="both"/>
        <w:rPr>
          <w:rFonts w:ascii="Times New Roman" w:hAnsi="Times New Roman" w:cs="Times New Roman"/>
        </w:rPr>
      </w:pPr>
      <w:r w:rsidRPr="00027F1B">
        <w:rPr>
          <w:rFonts w:ascii="Times New Roman" w:hAnsi="Times New Roman" w:cs="Times New Roman"/>
        </w:rPr>
        <w:t>Les guillemets à l'intérieur de guillemets français doivent être des guillemets anglais.</w:t>
      </w:r>
    </w:p>
    <w:p w14:paraId="399CA583" w14:textId="77777777" w:rsidR="00027F1B" w:rsidRPr="00027F1B" w:rsidRDefault="00027F1B" w:rsidP="00027F1B">
      <w:pPr>
        <w:jc w:val="both"/>
        <w:rPr>
          <w:rFonts w:ascii="Times New Roman" w:hAnsi="Times New Roman" w:cs="Times New Roman"/>
        </w:rPr>
      </w:pPr>
      <w:r w:rsidRPr="00027F1B">
        <w:rPr>
          <w:rFonts w:ascii="Times New Roman" w:hAnsi="Times New Roman" w:cs="Times New Roman"/>
        </w:rPr>
        <w:t>L'utilisation des guillemets n'a pas vocation à se substituer aux italiques, qui doivent eux-mêmes être rares, voire absents.</w:t>
      </w:r>
    </w:p>
    <w:p w14:paraId="64B39E31" w14:textId="77777777" w:rsidR="00027F1B" w:rsidRPr="00027D33" w:rsidRDefault="00027F1B" w:rsidP="00027D33">
      <w:pPr>
        <w:jc w:val="both"/>
        <w:rPr>
          <w:rFonts w:ascii="Times New Roman" w:hAnsi="Times New Roman" w:cs="Times New Roman"/>
          <w:lang w:val="fr-FR"/>
        </w:rPr>
      </w:pPr>
    </w:p>
    <w:p w14:paraId="4B4B3141" w14:textId="77777777" w:rsidR="00E3119E" w:rsidRDefault="00E3119E"/>
    <w:sectPr w:rsidR="00E3119E" w:rsidSect="00CB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3719F"/>
    <w:multiLevelType w:val="multilevel"/>
    <w:tmpl w:val="7F9E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1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0"/>
    <w:rsid w:val="00027D33"/>
    <w:rsid w:val="00027F1B"/>
    <w:rsid w:val="005D79BA"/>
    <w:rsid w:val="005E1921"/>
    <w:rsid w:val="005E7B07"/>
    <w:rsid w:val="00837144"/>
    <w:rsid w:val="00AD7F00"/>
    <w:rsid w:val="00CB6A49"/>
    <w:rsid w:val="00E311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32A1"/>
  <w15:chartTrackingRefBased/>
  <w15:docId w15:val="{828306D5-3A50-4377-8F10-10DB622D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B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I11">
    <w:name w:val="TH-I.1.1."/>
    <w:qFormat/>
    <w:rsid w:val="005E1921"/>
    <w:pPr>
      <w:keepLines/>
      <w:suppressAutoHyphens/>
      <w:spacing w:line="240" w:lineRule="auto"/>
      <w:jc w:val="both"/>
      <w:outlineLvl w:val="2"/>
    </w:pPr>
    <w:rPr>
      <w:rFonts w:ascii="Times New Roman" w:eastAsia="MS Mincho" w:hAnsi="Times New Roman"/>
      <w:b/>
      <w:sz w:val="32"/>
      <w:lang w:eastAsia="fr-FR"/>
    </w:rPr>
  </w:style>
  <w:style w:type="paragraph" w:customStyle="1" w:styleId="TH-I111">
    <w:name w:val="TH-I.1.1.1."/>
    <w:basedOn w:val="Normal"/>
    <w:next w:val="Normal"/>
    <w:qFormat/>
    <w:rsid w:val="005E1921"/>
    <w:pPr>
      <w:keepNext/>
      <w:tabs>
        <w:tab w:val="left" w:pos="0"/>
      </w:tabs>
      <w:suppressAutoHyphens/>
      <w:spacing w:before="100" w:beforeAutospacing="1" w:line="240" w:lineRule="auto"/>
      <w:contextualSpacing/>
      <w:jc w:val="both"/>
      <w:outlineLvl w:val="3"/>
    </w:pPr>
    <w:rPr>
      <w:rFonts w:ascii="Times New Roman" w:eastAsia="MS Mincho" w:hAnsi="Times New Roman" w:cs="Times New Roman"/>
      <w:b/>
      <w:sz w:val="24"/>
      <w:szCs w:val="20"/>
      <w:lang w:eastAsia="fr-FR"/>
    </w:rPr>
  </w:style>
  <w:style w:type="paragraph" w:customStyle="1" w:styleId="Thse-Titre1PartiesIIIIII">
    <w:name w:val="Thèse-Titre 1 Parties I II III"/>
    <w:next w:val="Normal"/>
    <w:link w:val="Thse-Titre1PartiesIIIIIICar"/>
    <w:qFormat/>
    <w:rsid w:val="005E1921"/>
    <w:pPr>
      <w:spacing w:after="120"/>
      <w:jc w:val="center"/>
      <w:outlineLvl w:val="0"/>
    </w:pPr>
    <w:rPr>
      <w:rFonts w:ascii="Times New Roman" w:eastAsia="MS Mincho" w:hAnsi="Times New Roman" w:cs="Times New Roman"/>
      <w:b/>
      <w:smallCaps/>
      <w:sz w:val="40"/>
      <w:lang w:eastAsia="fr-FR"/>
    </w:rPr>
  </w:style>
  <w:style w:type="character" w:customStyle="1" w:styleId="Thse-Titre1PartiesIIIIIICar">
    <w:name w:val="Thèse-Titre 1 Parties I II III Car"/>
    <w:basedOn w:val="Policepardfaut"/>
    <w:link w:val="Thse-Titre1PartiesIIIIII"/>
    <w:rsid w:val="005E1921"/>
    <w:rPr>
      <w:rFonts w:ascii="Times New Roman" w:eastAsia="MS Mincho" w:hAnsi="Times New Roman" w:cs="Times New Roman"/>
      <w:b/>
      <w:smallCaps/>
      <w:sz w:val="40"/>
      <w:lang w:eastAsia="fr-FR"/>
    </w:rPr>
  </w:style>
  <w:style w:type="paragraph" w:customStyle="1" w:styleId="TH-11Numro">
    <w:name w:val="TH-1.1. Numéro"/>
    <w:basedOn w:val="Normal"/>
    <w:qFormat/>
    <w:rsid w:val="005E1921"/>
    <w:pPr>
      <w:spacing w:after="120" w:line="240" w:lineRule="auto"/>
      <w:jc w:val="right"/>
      <w:outlineLvl w:val="1"/>
    </w:pPr>
    <w:rPr>
      <w:rFonts w:ascii="Garamond" w:eastAsia="MS Mincho" w:hAnsi="Garamond"/>
      <w:i/>
      <w:sz w:val="56"/>
      <w:szCs w:val="40"/>
      <w:lang w:eastAsia="fr-FR"/>
    </w:rPr>
  </w:style>
  <w:style w:type="paragraph" w:customStyle="1" w:styleId="TH-11Titre">
    <w:name w:val="TH- 1.1. Titre"/>
    <w:basedOn w:val="Normal"/>
    <w:qFormat/>
    <w:rsid w:val="005E1921"/>
    <w:pPr>
      <w:spacing w:after="120" w:line="240" w:lineRule="auto"/>
      <w:jc w:val="right"/>
      <w:outlineLvl w:val="1"/>
    </w:pPr>
    <w:rPr>
      <w:rFonts w:ascii="Garamond" w:eastAsia="MS Mincho" w:hAnsi="Garamond"/>
      <w:sz w:val="52"/>
      <w:lang w:eastAsia="fr-FR"/>
    </w:rPr>
  </w:style>
  <w:style w:type="paragraph" w:customStyle="1" w:styleId="TH-1Numro">
    <w:name w:val="TH-1. Numéro"/>
    <w:basedOn w:val="Thse-Titre1PartiesIIIIII"/>
    <w:qFormat/>
    <w:rsid w:val="005E1921"/>
  </w:style>
  <w:style w:type="paragraph" w:customStyle="1" w:styleId="TH-I">
    <w:name w:val="TH-I."/>
    <w:basedOn w:val="Thse-Titre1PartiesIIIIII"/>
    <w:qFormat/>
    <w:rsid w:val="005E1921"/>
  </w:style>
  <w:style w:type="paragraph" w:customStyle="1" w:styleId="TH-I1Numro">
    <w:name w:val="TH-I.1. Numéro"/>
    <w:basedOn w:val="Normal"/>
    <w:qFormat/>
    <w:rsid w:val="005E1921"/>
    <w:pPr>
      <w:spacing w:after="120" w:line="240" w:lineRule="auto"/>
      <w:jc w:val="right"/>
      <w:outlineLvl w:val="1"/>
    </w:pPr>
    <w:rPr>
      <w:rFonts w:ascii="Garamond" w:eastAsia="MS Mincho" w:hAnsi="Garamond"/>
      <w:i/>
      <w:sz w:val="56"/>
      <w:szCs w:val="40"/>
      <w:lang w:eastAsia="fr-FR"/>
    </w:rPr>
  </w:style>
  <w:style w:type="paragraph" w:customStyle="1" w:styleId="TH-I1Titre">
    <w:name w:val="TH-I.1. Titre"/>
    <w:basedOn w:val="Normal"/>
    <w:qFormat/>
    <w:rsid w:val="005E1921"/>
    <w:pPr>
      <w:spacing w:after="120" w:line="240" w:lineRule="auto"/>
      <w:jc w:val="right"/>
    </w:pPr>
    <w:rPr>
      <w:rFonts w:ascii="Garamond" w:eastAsia="MS Mincho" w:hAnsi="Garamond"/>
      <w:sz w:val="52"/>
      <w:lang w:eastAsia="fr-FR"/>
    </w:rPr>
  </w:style>
  <w:style w:type="paragraph" w:customStyle="1" w:styleId="Thse-Citations">
    <w:name w:val="Thèse-Citations"/>
    <w:basedOn w:val="Normal"/>
    <w:next w:val="Normal"/>
    <w:link w:val="Thse-CitationsCar"/>
    <w:autoRedefine/>
    <w:qFormat/>
    <w:rsid w:val="005E7B07"/>
    <w:pPr>
      <w:spacing w:before="120" w:after="120" w:line="240" w:lineRule="auto"/>
      <w:ind w:left="1134" w:right="1134"/>
      <w:jc w:val="both"/>
    </w:pPr>
    <w:rPr>
      <w:rFonts w:ascii="Times New Roman" w:eastAsia="MS Mincho" w:hAnsi="Times New Roman" w:cs="Times New Roman"/>
      <w:sz w:val="24"/>
      <w:szCs w:val="20"/>
      <w:lang w:eastAsia="fr-FR"/>
    </w:rPr>
  </w:style>
  <w:style w:type="character" w:customStyle="1" w:styleId="Thse-CitationsCar">
    <w:name w:val="Thèse-Citations Car"/>
    <w:basedOn w:val="Policepardfaut"/>
    <w:link w:val="Thse-Citations"/>
    <w:rsid w:val="005E7B07"/>
    <w:rPr>
      <w:rFonts w:ascii="Times New Roman" w:eastAsia="MS Mincho" w:hAnsi="Times New Roman" w:cs="Times New Roman"/>
      <w:sz w:val="24"/>
      <w:szCs w:val="20"/>
      <w:lang w:eastAsia="fr-FR"/>
    </w:rPr>
  </w:style>
  <w:style w:type="paragraph" w:customStyle="1" w:styleId="Thse-Paragraphes">
    <w:name w:val="Thèse-Paragraphes"/>
    <w:link w:val="Thse-ParagraphesCar"/>
    <w:qFormat/>
    <w:rsid w:val="005D79BA"/>
    <w:pPr>
      <w:spacing w:before="120" w:after="120" w:line="360" w:lineRule="auto"/>
      <w:ind w:firstLine="709"/>
      <w:contextualSpacing/>
      <w:jc w:val="both"/>
    </w:pPr>
    <w:rPr>
      <w:rFonts w:ascii="Times New Roman" w:eastAsiaTheme="minorEastAsia" w:hAnsi="Times New Roman"/>
      <w:sz w:val="24"/>
      <w:lang w:eastAsia="fr-FR"/>
    </w:rPr>
  </w:style>
  <w:style w:type="character" w:customStyle="1" w:styleId="Thse-ParagraphesCar">
    <w:name w:val="Thèse-Paragraphes Car"/>
    <w:basedOn w:val="Policepardfaut"/>
    <w:link w:val="Thse-Paragraphes"/>
    <w:rsid w:val="005D79BA"/>
    <w:rPr>
      <w:rFonts w:ascii="Times New Roman" w:eastAsiaTheme="minorEastAsia" w:hAnsi="Times New Roman"/>
      <w:sz w:val="24"/>
      <w:lang w:eastAsia="fr-FR"/>
    </w:rPr>
  </w:style>
  <w:style w:type="paragraph" w:customStyle="1" w:styleId="Thse-NotesCitations">
    <w:name w:val="Thèse-Notes Citations"/>
    <w:basedOn w:val="NormalWeb"/>
    <w:next w:val="Normal"/>
    <w:autoRedefine/>
    <w:qFormat/>
    <w:rsid w:val="005D79BA"/>
    <w:pPr>
      <w:spacing w:before="120" w:after="120" w:line="240" w:lineRule="auto"/>
      <w:ind w:left="1134" w:right="1134"/>
      <w:jc w:val="both"/>
    </w:pPr>
    <w:rPr>
      <w:rFonts w:eastAsia="MS Mincho"/>
      <w:sz w:val="20"/>
      <w:szCs w:val="20"/>
      <w:lang w:eastAsia="fr-FR"/>
    </w:rPr>
  </w:style>
  <w:style w:type="paragraph" w:styleId="NormalWeb">
    <w:name w:val="Normal (Web)"/>
    <w:basedOn w:val="Normal"/>
    <w:uiPriority w:val="99"/>
    <w:semiHidden/>
    <w:unhideWhenUsed/>
    <w:rsid w:val="005D79BA"/>
    <w:rPr>
      <w:rFonts w:ascii="Times New Roman" w:hAnsi="Times New Roman" w:cs="Times New Roman"/>
      <w:sz w:val="24"/>
      <w:szCs w:val="24"/>
    </w:rPr>
  </w:style>
  <w:style w:type="paragraph" w:customStyle="1" w:styleId="Thse-Notesdebasdepage">
    <w:name w:val="Thèse-Notes de bas de page"/>
    <w:basedOn w:val="Notedebasdepage"/>
    <w:link w:val="Thse-NotesdebasdepageCar"/>
    <w:qFormat/>
    <w:rsid w:val="005D79BA"/>
    <w:pPr>
      <w:jc w:val="both"/>
    </w:pPr>
    <w:rPr>
      <w:rFonts w:ascii="Times New Roman" w:eastAsiaTheme="minorEastAsia" w:hAnsi="Times New Roman"/>
      <w:lang w:eastAsia="fr-FR"/>
    </w:rPr>
  </w:style>
  <w:style w:type="character" w:customStyle="1" w:styleId="Thse-NotesdebasdepageCar">
    <w:name w:val="Thèse-Notes de bas de page Car"/>
    <w:basedOn w:val="Policepardfaut"/>
    <w:link w:val="Thse-Notesdebasdepage"/>
    <w:rsid w:val="005D79BA"/>
    <w:rPr>
      <w:rFonts w:ascii="Times New Roman" w:eastAsiaTheme="minorEastAsia" w:hAnsi="Times New Roman"/>
      <w:sz w:val="20"/>
      <w:szCs w:val="20"/>
      <w:lang w:eastAsia="fr-FR"/>
    </w:rPr>
  </w:style>
  <w:style w:type="paragraph" w:styleId="Notedebasdepage">
    <w:name w:val="footnote text"/>
    <w:basedOn w:val="Normal"/>
    <w:link w:val="NotedebasdepageCar"/>
    <w:uiPriority w:val="99"/>
    <w:semiHidden/>
    <w:unhideWhenUsed/>
    <w:rsid w:val="005D79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79BA"/>
    <w:rPr>
      <w:sz w:val="20"/>
      <w:szCs w:val="20"/>
    </w:rPr>
  </w:style>
  <w:style w:type="paragraph" w:customStyle="1" w:styleId="Thse-Paragraphes2sansalina">
    <w:name w:val="Thèse-Paragraphes2 (sans alinéa)"/>
    <w:basedOn w:val="Thse-Paragraphes"/>
    <w:next w:val="Thse-Paragraphes"/>
    <w:link w:val="Thse-Paragraphes2sansalinaCar"/>
    <w:qFormat/>
    <w:rsid w:val="005D79BA"/>
    <w:pPr>
      <w:ind w:firstLine="0"/>
    </w:pPr>
    <w:rPr>
      <w:rFonts w:eastAsia="MS Mincho" w:cs="Times New Roman"/>
      <w:szCs w:val="20"/>
    </w:rPr>
  </w:style>
  <w:style w:type="character" w:customStyle="1" w:styleId="Thse-Paragraphes2sansalinaCar">
    <w:name w:val="Thèse-Paragraphes2 (sans alinéa) Car"/>
    <w:basedOn w:val="Thse-ParagraphesCar"/>
    <w:link w:val="Thse-Paragraphes2sansalina"/>
    <w:rsid w:val="005D79BA"/>
    <w:rPr>
      <w:rFonts w:ascii="Times New Roman" w:eastAsia="MS Mincho"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wikipedia.org/wiki/ISO_69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Goetzmann</dc:creator>
  <cp:keywords/>
  <dc:description/>
  <cp:lastModifiedBy>Marc Goetzmann</cp:lastModifiedBy>
  <cp:revision>4</cp:revision>
  <dcterms:created xsi:type="dcterms:W3CDTF">2020-12-21T12:36:00Z</dcterms:created>
  <dcterms:modified xsi:type="dcterms:W3CDTF">2022-06-14T14:57:00Z</dcterms:modified>
</cp:coreProperties>
</file>